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130EA3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130EA3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224136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Обучение координатора  (курсы, семинары)</w:t>
            </w:r>
          </w:p>
        </w:tc>
        <w:tc>
          <w:tcPr>
            <w:tcW w:w="4785" w:type="dxa"/>
          </w:tcPr>
          <w:p w:rsidR="001F50B8" w:rsidRPr="00562C12" w:rsidRDefault="00224136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Источники финансирования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224136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Обучение добровольцев ( выезды, курсы, семинары)</w:t>
            </w:r>
          </w:p>
        </w:tc>
        <w:tc>
          <w:tcPr>
            <w:tcW w:w="4785" w:type="dxa"/>
          </w:tcPr>
          <w:p w:rsidR="001F50B8" w:rsidRPr="00562C12" w:rsidRDefault="00224136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Источники финансирования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24136" w:rsidRPr="00562C12" w:rsidRDefault="00224136" w:rsidP="00D0511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Выполнение добровольцами дополнительных социальных услуг (например, социально-бытовых) на практике.  Доброволец должен ходить с соц.работником и параллельно ему помогать  либо оказывать одновременно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доп.соц.услуги?   </w:t>
            </w:r>
            <w:r w:rsidR="00D051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ожилы</w:t>
            </w:r>
            <w:r w:rsidR="00D051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одиноки</w:t>
            </w:r>
            <w:r w:rsidR="00D051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люди</w:t>
            </w:r>
            <w:r w:rsidR="00D051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доверяют только соц.работнику, которого они знают несколько лет. На практике сталкиваемся с тем, что даже соц.работника не можем менять, т.к. для получателей услуг это </w:t>
            </w:r>
            <w:r w:rsidR="00DA76F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морально </w:t>
            </w:r>
            <w:r w:rsidR="00D051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тяжело.</w:t>
            </w:r>
            <w:r w:rsidR="00DA76F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4785" w:type="dxa"/>
          </w:tcPr>
          <w:p w:rsidR="001F50B8" w:rsidRPr="00562C12" w:rsidRDefault="00D05117" w:rsidP="002E580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Социальный работник должен ходить вместе с добровольцем (при оказании социально-бытовых услуг) ?</w:t>
            </w:r>
            <w:r w:rsidR="002E580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Есть ли другие варианты</w:t>
            </w:r>
          </w:p>
        </w:tc>
      </w:tr>
      <w:tr w:rsidR="00D05117" w:rsidRPr="00562C12" w:rsidTr="00C751A8">
        <w:tc>
          <w:tcPr>
            <w:tcW w:w="817" w:type="dxa"/>
          </w:tcPr>
          <w:p w:rsidR="00D05117" w:rsidRPr="00562C12" w:rsidRDefault="00D05117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5117" w:rsidRDefault="00D05117" w:rsidP="00D0511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Неполная информация о добровольце? Сейчас при  оформлении на работу человек предоставляет полный пакет документов (в т.ч. </w:t>
            </w:r>
            <w:r w:rsidR="002E580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он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проходит </w:t>
            </w:r>
            <w:r w:rsidR="002E580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предварительный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медиц.осмотр</w:t>
            </w:r>
            <w:r w:rsidR="002E580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(он платный, но учреждение возмещает эти расходы)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 предоставляет справку о несудимости</w:t>
            </w:r>
            <w:r w:rsidR="002E580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?</w:t>
            </w:r>
            <w:r w:rsidR="002E580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Как эти проблемы решать с добровольцами?</w:t>
            </w:r>
          </w:p>
        </w:tc>
        <w:tc>
          <w:tcPr>
            <w:tcW w:w="4785" w:type="dxa"/>
          </w:tcPr>
          <w:p w:rsidR="00D05117" w:rsidRDefault="00D05117" w:rsidP="00D0511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2E5801" w:rsidRPr="00562C12" w:rsidTr="00C751A8">
        <w:tc>
          <w:tcPr>
            <w:tcW w:w="817" w:type="dxa"/>
          </w:tcPr>
          <w:p w:rsidR="002E5801" w:rsidRPr="00562C12" w:rsidRDefault="002E5801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E5801" w:rsidRDefault="00D24067" w:rsidP="00D0511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Ресурсное обеспечение волонтеров (символика, проезд  и питание для иногородних</w:t>
            </w:r>
            <w:r w:rsidR="00BA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 приобретение спец.одежды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 и т.д.?  Для небольших центров социального обслуживания это проблематично, поскольку все расходы, которые касаются добровольческой деятельности необходимо проводить за счет средств, полученных от платной деятельности (собственные средства учреждения), а их не так уж и много и в основном они уходят на собственные нужды учреждения.</w:t>
            </w:r>
          </w:p>
        </w:tc>
        <w:tc>
          <w:tcPr>
            <w:tcW w:w="4785" w:type="dxa"/>
          </w:tcPr>
          <w:p w:rsidR="002E5801" w:rsidRDefault="002E5801" w:rsidP="00D0511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6F15AA" w:rsidRPr="00562C12" w:rsidTr="00C751A8">
        <w:tc>
          <w:tcPr>
            <w:tcW w:w="817" w:type="dxa"/>
          </w:tcPr>
          <w:p w:rsidR="006F15AA" w:rsidRPr="00562C12" w:rsidRDefault="006F15AA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6F15AA" w:rsidRDefault="006F15AA" w:rsidP="00DA76F4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Инструктажи по технике безопасности. </w:t>
            </w:r>
            <w:r w:rsidR="008B28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Как это на практике </w:t>
            </w:r>
            <w:r w:rsidR="00DA76F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применять</w:t>
            </w:r>
            <w:r w:rsidR="008B28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параллельно заводить всю документацию на добровольцев ? </w:t>
            </w:r>
          </w:p>
        </w:tc>
        <w:tc>
          <w:tcPr>
            <w:tcW w:w="4785" w:type="dxa"/>
          </w:tcPr>
          <w:p w:rsidR="006F15AA" w:rsidRDefault="006F15AA" w:rsidP="00D0511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110C41" w:rsidP="000D1116"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margin-left:-13.05pt;margin-top:24.05pt;width:22.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  <w:r w:rsidR="000D1116">
        <w:t>При оказании дополнительных социальных услуг  в отделениях социального обслуживания на дому возникает много нюансов, поэтому добровольцы(волонтеры)  в настоящее время проводят свою работу в отделениях дневного пребывания граждан и участвуют в культурно-массовых мероприятиях (концерты, выставки кружки, лекции и т.д.).</w: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CB631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C41" w:rsidRDefault="00110C41" w:rsidP="00562C12">
      <w:pPr>
        <w:spacing w:after="0" w:line="240" w:lineRule="auto"/>
      </w:pPr>
      <w:r>
        <w:separator/>
      </w:r>
    </w:p>
  </w:endnote>
  <w:endnote w:type="continuationSeparator" w:id="0">
    <w:p w:rsidR="00110C41" w:rsidRDefault="00110C41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C41" w:rsidRDefault="00110C41" w:rsidP="00562C12">
      <w:pPr>
        <w:spacing w:after="0" w:line="240" w:lineRule="auto"/>
      </w:pPr>
      <w:r>
        <w:separator/>
      </w:r>
    </w:p>
  </w:footnote>
  <w:footnote w:type="continuationSeparator" w:id="0">
    <w:p w:rsidR="00110C41" w:rsidRDefault="00110C41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86C7C"/>
    <w:rsid w:val="000A2228"/>
    <w:rsid w:val="000D1116"/>
    <w:rsid w:val="000F48E8"/>
    <w:rsid w:val="00110C41"/>
    <w:rsid w:val="00125E75"/>
    <w:rsid w:val="00130EA3"/>
    <w:rsid w:val="00154155"/>
    <w:rsid w:val="0018646A"/>
    <w:rsid w:val="001F50B8"/>
    <w:rsid w:val="002032B6"/>
    <w:rsid w:val="00224136"/>
    <w:rsid w:val="0023590A"/>
    <w:rsid w:val="00240CE7"/>
    <w:rsid w:val="002D6E9C"/>
    <w:rsid w:val="002E5801"/>
    <w:rsid w:val="00493F84"/>
    <w:rsid w:val="004A774B"/>
    <w:rsid w:val="004D5547"/>
    <w:rsid w:val="00547F54"/>
    <w:rsid w:val="00562C12"/>
    <w:rsid w:val="005A714B"/>
    <w:rsid w:val="005C7B5E"/>
    <w:rsid w:val="005D75DC"/>
    <w:rsid w:val="00603940"/>
    <w:rsid w:val="006F15AA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B2849"/>
    <w:rsid w:val="008F6AB9"/>
    <w:rsid w:val="009B6C2A"/>
    <w:rsid w:val="009D2850"/>
    <w:rsid w:val="009F5937"/>
    <w:rsid w:val="00AB1D06"/>
    <w:rsid w:val="00AD5C0B"/>
    <w:rsid w:val="00AF0B42"/>
    <w:rsid w:val="00B06102"/>
    <w:rsid w:val="00B54F4F"/>
    <w:rsid w:val="00B72E4F"/>
    <w:rsid w:val="00BA5F99"/>
    <w:rsid w:val="00C24D0D"/>
    <w:rsid w:val="00C410F1"/>
    <w:rsid w:val="00C751A8"/>
    <w:rsid w:val="00CA265E"/>
    <w:rsid w:val="00CB631F"/>
    <w:rsid w:val="00CF778E"/>
    <w:rsid w:val="00D05117"/>
    <w:rsid w:val="00D11A52"/>
    <w:rsid w:val="00D24067"/>
    <w:rsid w:val="00D25FF4"/>
    <w:rsid w:val="00DA76F4"/>
    <w:rsid w:val="00E13055"/>
    <w:rsid w:val="00E6780D"/>
    <w:rsid w:val="00EA1C64"/>
    <w:rsid w:val="00F4386F"/>
    <w:rsid w:val="00F86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2019-12-08T10:00:00Z</dcterms:created>
  <dcterms:modified xsi:type="dcterms:W3CDTF">2019-12-08T10:00:00Z</dcterms:modified>
</cp:coreProperties>
</file>